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54" w:rsidRPr="00FF7767" w:rsidRDefault="00961354" w:rsidP="008F3B28">
      <w:pPr>
        <w:widowControl w:val="0"/>
        <w:jc w:val="center"/>
        <w:rPr>
          <w:b/>
          <w:sz w:val="28"/>
        </w:rPr>
      </w:pPr>
      <w:r w:rsidRPr="00FF7767">
        <w:rPr>
          <w:b/>
          <w:sz w:val="28"/>
        </w:rPr>
        <w:t>Р А З Ъ Я С Н Е Н И Е   П О Л О Ж Е Н И Й</w:t>
      </w:r>
    </w:p>
    <w:p w:rsidR="00961354" w:rsidRPr="00FF7767" w:rsidRDefault="00961354" w:rsidP="008F3B28">
      <w:pPr>
        <w:widowControl w:val="0"/>
        <w:jc w:val="center"/>
        <w:rPr>
          <w:b/>
          <w:sz w:val="28"/>
        </w:rPr>
      </w:pPr>
      <w:r w:rsidRPr="00FF7767">
        <w:rPr>
          <w:b/>
          <w:sz w:val="28"/>
        </w:rPr>
        <w:t>К О Н К У Р С Н О Й   Д О К У М Е Н Т А Ц И И</w:t>
      </w:r>
    </w:p>
    <w:p w:rsidR="00961354" w:rsidRPr="00FF7767" w:rsidRDefault="00961354" w:rsidP="008F3B28">
      <w:pPr>
        <w:widowControl w:val="0"/>
        <w:jc w:val="both"/>
        <w:rPr>
          <w:sz w:val="16"/>
          <w:szCs w:val="16"/>
        </w:rPr>
      </w:pPr>
    </w:p>
    <w:p w:rsidR="00961354" w:rsidRPr="00FF7767" w:rsidRDefault="00961354" w:rsidP="008F3B28">
      <w:pPr>
        <w:widowControl w:val="0"/>
        <w:jc w:val="both"/>
        <w:rPr>
          <w:sz w:val="16"/>
          <w:szCs w:val="16"/>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8"/>
        <w:gridCol w:w="1496"/>
        <w:gridCol w:w="3624"/>
        <w:gridCol w:w="4171"/>
      </w:tblGrid>
      <w:tr w:rsidR="00BA16B0" w:rsidRPr="00FF7767" w:rsidTr="00BA16B0">
        <w:trPr>
          <w:trHeight w:val="305"/>
        </w:trPr>
        <w:tc>
          <w:tcPr>
            <w:tcW w:w="302" w:type="pct"/>
            <w:vAlign w:val="center"/>
          </w:tcPr>
          <w:p w:rsidR="00BA16B0" w:rsidRPr="008F3B28" w:rsidRDefault="00BA16B0" w:rsidP="008F3B28">
            <w:pPr>
              <w:widowControl w:val="0"/>
              <w:jc w:val="center"/>
              <w:rPr>
                <w:sz w:val="18"/>
                <w:szCs w:val="18"/>
              </w:rPr>
            </w:pPr>
            <w:r w:rsidRPr="008F3B28">
              <w:rPr>
                <w:sz w:val="18"/>
                <w:szCs w:val="18"/>
              </w:rPr>
              <w:t>№ п/п</w:t>
            </w:r>
          </w:p>
        </w:tc>
        <w:tc>
          <w:tcPr>
            <w:tcW w:w="756" w:type="pct"/>
            <w:vAlign w:val="center"/>
          </w:tcPr>
          <w:p w:rsidR="00BA16B0" w:rsidRPr="008F3B28" w:rsidRDefault="00BA16B0" w:rsidP="008F3B28">
            <w:pPr>
              <w:widowControl w:val="0"/>
              <w:jc w:val="center"/>
              <w:rPr>
                <w:sz w:val="18"/>
                <w:szCs w:val="18"/>
              </w:rPr>
            </w:pPr>
            <w:r w:rsidRPr="008F3B28">
              <w:rPr>
                <w:sz w:val="18"/>
                <w:szCs w:val="18"/>
              </w:rPr>
              <w:t>Раздел конкурсной документации</w:t>
            </w:r>
          </w:p>
        </w:tc>
        <w:tc>
          <w:tcPr>
            <w:tcW w:w="1832" w:type="pct"/>
            <w:vAlign w:val="center"/>
          </w:tcPr>
          <w:p w:rsidR="00BA16B0" w:rsidRPr="008F3B28" w:rsidRDefault="00BA16B0" w:rsidP="008F3B28">
            <w:pPr>
              <w:widowControl w:val="0"/>
              <w:jc w:val="center"/>
              <w:rPr>
                <w:sz w:val="18"/>
                <w:szCs w:val="18"/>
              </w:rPr>
            </w:pPr>
            <w:r w:rsidRPr="008F3B28">
              <w:rPr>
                <w:sz w:val="18"/>
                <w:szCs w:val="18"/>
              </w:rPr>
              <w:t>Содержание запроса на разъяснение положений конкурсной документации</w:t>
            </w:r>
          </w:p>
        </w:tc>
        <w:tc>
          <w:tcPr>
            <w:tcW w:w="2109" w:type="pct"/>
            <w:vAlign w:val="center"/>
          </w:tcPr>
          <w:p w:rsidR="00BA16B0" w:rsidRPr="008F3B28" w:rsidRDefault="00BA16B0" w:rsidP="008F3B28">
            <w:pPr>
              <w:widowControl w:val="0"/>
              <w:jc w:val="center"/>
              <w:rPr>
                <w:sz w:val="18"/>
                <w:szCs w:val="18"/>
              </w:rPr>
            </w:pPr>
            <w:r w:rsidRPr="008F3B28">
              <w:rPr>
                <w:sz w:val="18"/>
                <w:szCs w:val="18"/>
              </w:rPr>
              <w:t>Содержание разъяснений</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1</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4.2 раздела 4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Изначально извещение о проведении открытого конкурса на официальном сайте министерства транспорта и дорожного хозяйства Сара</w:t>
            </w:r>
            <w:r>
              <w:rPr>
                <w:sz w:val="18"/>
                <w:szCs w:val="18"/>
              </w:rPr>
              <w:t>товской области в информационно-</w:t>
            </w:r>
            <w:r w:rsidRPr="008F3B28">
              <w:rPr>
                <w:sz w:val="18"/>
                <w:szCs w:val="18"/>
              </w:rPr>
              <w:t>телекоммуникационной сети «Интернет» было размещено 22 мая 2019 года. В связи с предписанием Управления Федеральной антимонопольной службы по Саратовской области от 5 июля 2019 года № 064/01/18.1-158/2019 в извещение о проведении открытого конкурса были внесены изменения. Согласно пункта 2 распоряжения министерства транспорта и дорожного хозяйства Саратовской области от 10 июля 2019 года № 01-01-13/46 извещение о проведении открытого конкурса должно быть размещено на официальном сайте министерства в срок до 15 июля 2019 года. Фактически же извещение о проведении открытого конкурса размещено на сайте министерства 16 июля 2019 года, что противоречит распоряжению министра.</w:t>
            </w:r>
          </w:p>
          <w:p w:rsidR="008F3B28" w:rsidRPr="008F3B28" w:rsidRDefault="008F3B28" w:rsidP="008F3B28">
            <w:pPr>
              <w:jc w:val="both"/>
              <w:rPr>
                <w:sz w:val="18"/>
                <w:szCs w:val="18"/>
              </w:rPr>
            </w:pPr>
            <w:r w:rsidRPr="008F3B28">
              <w:rPr>
                <w:sz w:val="18"/>
                <w:szCs w:val="18"/>
              </w:rPr>
              <w:t>В связи с этим прошу пояснить, что в конкретном случае является датой размещения извещения о проведении открытого конкурса на официальном сайте министерства транспорта и дорожного хозяйства Саратовской области в информационно-телекоммуникационной сети «Интернет» (22 мая 2019 года, 15 июля 2019 года, 16 июля 2019 года или какая-то иная дата).</w:t>
            </w:r>
          </w:p>
        </w:tc>
        <w:tc>
          <w:tcPr>
            <w:tcW w:w="2109" w:type="pct"/>
            <w:vAlign w:val="center"/>
          </w:tcPr>
          <w:p w:rsidR="008F3B28" w:rsidRPr="008F3B28" w:rsidRDefault="008F3B28" w:rsidP="008F3B28">
            <w:pPr>
              <w:jc w:val="both"/>
              <w:rPr>
                <w:sz w:val="18"/>
                <w:szCs w:val="18"/>
              </w:rPr>
            </w:pPr>
            <w:r w:rsidRPr="008F3B28">
              <w:rPr>
                <w:sz w:val="18"/>
                <w:szCs w:val="18"/>
              </w:rPr>
              <w:t>Дата размещения извещения – 16 июля 2019 года</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2</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4.2 раздела 4 конкурсной документации</w:t>
            </w:r>
          </w:p>
        </w:tc>
        <w:tc>
          <w:tcPr>
            <w:tcW w:w="1832" w:type="pct"/>
            <w:vAlign w:val="center"/>
          </w:tcPr>
          <w:p w:rsidR="008F3B28" w:rsidRPr="008F3B28" w:rsidRDefault="008F3B28" w:rsidP="008F3B28">
            <w:pPr>
              <w:tabs>
                <w:tab w:val="left" w:pos="316"/>
              </w:tabs>
              <w:jc w:val="both"/>
              <w:rPr>
                <w:sz w:val="18"/>
                <w:szCs w:val="18"/>
              </w:rPr>
            </w:pPr>
            <w:r w:rsidRPr="008F3B28">
              <w:rPr>
                <w:sz w:val="18"/>
                <w:szCs w:val="18"/>
              </w:rPr>
              <w:t>Указанный пункт содержит требования к заявке участника открытого конкурса.</w:t>
            </w:r>
          </w:p>
          <w:p w:rsidR="008F3B28" w:rsidRPr="008F3B28" w:rsidRDefault="008F3B28" w:rsidP="008F3B28">
            <w:pPr>
              <w:pStyle w:val="aa"/>
              <w:numPr>
                <w:ilvl w:val="0"/>
                <w:numId w:val="6"/>
              </w:numPr>
              <w:tabs>
                <w:tab w:val="left" w:pos="316"/>
              </w:tabs>
              <w:ind w:left="0" w:firstLine="0"/>
              <w:jc w:val="both"/>
              <w:rPr>
                <w:sz w:val="18"/>
                <w:szCs w:val="18"/>
              </w:rPr>
            </w:pPr>
            <w:r w:rsidRPr="008F3B28">
              <w:rPr>
                <w:sz w:val="18"/>
                <w:szCs w:val="18"/>
              </w:rPr>
              <w:t>В связи с отсутствием каких либо инструкций по заполнению заявки на участие в открытом конкурсе либо пояснений в тексте конкурсной документации прошу пояснить из каких принципов следует заполнять графы заявки на участие в открытом конкурсе (приложение № 2) - «Количество ДТП», «Опыт осуществления перевозок», «Максимальный срок эксплуатации». Прошу привести примеры.</w:t>
            </w:r>
          </w:p>
          <w:p w:rsidR="008F3B28" w:rsidRPr="008F3B28" w:rsidRDefault="008F3B28" w:rsidP="008F3B28">
            <w:pPr>
              <w:pStyle w:val="aa"/>
              <w:numPr>
                <w:ilvl w:val="0"/>
                <w:numId w:val="6"/>
              </w:numPr>
              <w:tabs>
                <w:tab w:val="left" w:pos="316"/>
              </w:tabs>
              <w:ind w:left="0" w:firstLine="33"/>
              <w:jc w:val="both"/>
              <w:rPr>
                <w:sz w:val="18"/>
                <w:szCs w:val="18"/>
              </w:rPr>
            </w:pPr>
            <w:r w:rsidRPr="008F3B28">
              <w:rPr>
                <w:sz w:val="18"/>
                <w:szCs w:val="18"/>
              </w:rPr>
              <w:t>В форме заявки на участие в открытом конкурсе (приложение № 2) отсутствуют графы, где участник открытого конкурса должен указывать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Каким образом нужно указывать вышеуказанные данные в заявке на участие в открытом конкурсе?</w:t>
            </w:r>
          </w:p>
        </w:tc>
        <w:tc>
          <w:tcPr>
            <w:tcW w:w="2109" w:type="pct"/>
            <w:vAlign w:val="center"/>
          </w:tcPr>
          <w:p w:rsidR="008F3B28" w:rsidRPr="008F3B28" w:rsidRDefault="008F3B28" w:rsidP="008F3B28">
            <w:pPr>
              <w:jc w:val="both"/>
              <w:rPr>
                <w:rFonts w:eastAsiaTheme="minorHAnsi"/>
                <w:sz w:val="18"/>
                <w:szCs w:val="18"/>
              </w:rPr>
            </w:pPr>
            <w:r w:rsidRPr="008F3B28">
              <w:rPr>
                <w:rFonts w:eastAsiaTheme="minorHAnsi"/>
                <w:sz w:val="18"/>
                <w:szCs w:val="18"/>
              </w:rPr>
              <w:t>В графе «Количество ДТП» при наличии указывается количество ДТП соответствующей цифрой, при отсутствии пишется слово «нет».</w:t>
            </w:r>
          </w:p>
          <w:p w:rsidR="008F3B28" w:rsidRPr="008F3B28" w:rsidRDefault="008F3B28" w:rsidP="008F3B28">
            <w:pPr>
              <w:jc w:val="both"/>
              <w:rPr>
                <w:rFonts w:eastAsiaTheme="minorHAnsi"/>
                <w:sz w:val="18"/>
                <w:szCs w:val="18"/>
              </w:rPr>
            </w:pPr>
            <w:r w:rsidRPr="008F3B28">
              <w:rPr>
                <w:rFonts w:eastAsiaTheme="minorHAnsi"/>
                <w:sz w:val="18"/>
                <w:szCs w:val="18"/>
              </w:rPr>
              <w:t>В графе «Опыт осуществления перевозок» - указывается в годах, месяцах опыт осуществления перевозок.</w:t>
            </w:r>
          </w:p>
          <w:p w:rsidR="008F3B28" w:rsidRPr="008F3B28" w:rsidRDefault="008F3B28" w:rsidP="008F3B28">
            <w:pPr>
              <w:jc w:val="both"/>
              <w:rPr>
                <w:rFonts w:eastAsiaTheme="minorHAnsi"/>
                <w:sz w:val="18"/>
                <w:szCs w:val="18"/>
              </w:rPr>
            </w:pPr>
            <w:r w:rsidRPr="008F3B28">
              <w:rPr>
                <w:rFonts w:eastAsiaTheme="minorHAnsi"/>
                <w:sz w:val="18"/>
                <w:szCs w:val="18"/>
              </w:rPr>
              <w:t>В графе «Максимальный срок эксплуатации» указывается максимальный срок эксплуатации каждого транспортного средства, заявленного для участия в открытом конкурсе с года выпуска транспортного средства, указанного в ПТС, до даты размещения извещения.</w:t>
            </w:r>
          </w:p>
          <w:p w:rsidR="008F3B28" w:rsidRPr="008F3B28" w:rsidRDefault="008F3B28" w:rsidP="008F3B28">
            <w:pPr>
              <w:jc w:val="both"/>
              <w:rPr>
                <w:rFonts w:eastAsia="Calibri"/>
                <w:sz w:val="18"/>
                <w:szCs w:val="18"/>
              </w:rPr>
            </w:pPr>
            <w:r w:rsidRPr="008F3B28">
              <w:rPr>
                <w:rFonts w:eastAsia="Calibri"/>
                <w:sz w:val="18"/>
                <w:szCs w:val="18"/>
              </w:rPr>
              <w:t xml:space="preserve">В соответствии с пунктом 4.3.7. конкурсной документации сведения, предоставленные участником открытого конкурса о характеристиках транспортных средств, влияющих на качество перевозок, предлагаемых участником открытого конкурса, для осуществления регулярных перевозок </w:t>
            </w:r>
            <w:r w:rsidRPr="008F3B28">
              <w:rPr>
                <w:sz w:val="18"/>
                <w:szCs w:val="18"/>
              </w:rPr>
              <w:t>указываются в приложение № 5 к конкурсной документации</w:t>
            </w:r>
            <w:r w:rsidRPr="008F3B28">
              <w:rPr>
                <w:rFonts w:eastAsia="Calibri"/>
                <w:sz w:val="18"/>
                <w:szCs w:val="18"/>
              </w:rPr>
              <w:t>. Документами, подтверждающими характеристики транспортных средств, являются:</w:t>
            </w:r>
          </w:p>
          <w:p w:rsidR="008F3B28" w:rsidRPr="008F3B28" w:rsidRDefault="008F3B28" w:rsidP="008F3B28">
            <w:pPr>
              <w:jc w:val="both"/>
              <w:rPr>
                <w:rFonts w:eastAsia="Calibri"/>
                <w:sz w:val="18"/>
                <w:szCs w:val="18"/>
              </w:rPr>
            </w:pPr>
            <w:r w:rsidRPr="008F3B28">
              <w:rPr>
                <w:rFonts w:eastAsia="Calibri"/>
                <w:sz w:val="18"/>
                <w:szCs w:val="18"/>
              </w:rPr>
              <w:t>- спецификация к транспортным средствам (технические характеристики транспортных средств);</w:t>
            </w:r>
          </w:p>
          <w:p w:rsidR="008F3B28" w:rsidRPr="008F3B28" w:rsidRDefault="008F3B28" w:rsidP="008F3B28">
            <w:pPr>
              <w:jc w:val="both"/>
              <w:rPr>
                <w:rFonts w:eastAsia="Calibri"/>
                <w:sz w:val="18"/>
                <w:szCs w:val="18"/>
              </w:rPr>
            </w:pPr>
            <w:r w:rsidRPr="008F3B28">
              <w:rPr>
                <w:rFonts w:eastAsia="Calibri"/>
                <w:sz w:val="18"/>
                <w:szCs w:val="18"/>
              </w:rPr>
              <w:t>- копии документов, подтверждающих наличие в транспортном средстве системы безналичной оплаты проезда;</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lastRenderedPageBreak/>
              <w:t>3</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4.3.3 раздела 4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Прошу пояснить какие копии документов данного пункта должны нотариально заверенными (только копии свидетельств об осуществлении перевозок по маршруту регулярных перевозок или все сведения об опыте осуществления регулярных перевозок).</w:t>
            </w:r>
          </w:p>
        </w:tc>
        <w:tc>
          <w:tcPr>
            <w:tcW w:w="2109" w:type="pct"/>
            <w:vAlign w:val="center"/>
          </w:tcPr>
          <w:p w:rsidR="008F3B28" w:rsidRPr="008F3B28" w:rsidRDefault="008F3B28" w:rsidP="008F3B28">
            <w:pPr>
              <w:jc w:val="both"/>
              <w:rPr>
                <w:rFonts w:eastAsiaTheme="minorHAnsi"/>
                <w:sz w:val="18"/>
                <w:szCs w:val="18"/>
              </w:rPr>
            </w:pPr>
            <w:r w:rsidRPr="008F3B28">
              <w:rPr>
                <w:sz w:val="18"/>
                <w:szCs w:val="18"/>
              </w:rPr>
              <w:t xml:space="preserve">В соответствии пунктом 2 части 3 статьи 24 Федерального закона </w:t>
            </w:r>
            <w:r w:rsidRPr="008F3B28">
              <w:rPr>
                <w:sz w:val="18"/>
                <w:szCs w:val="18"/>
              </w:rPr>
              <w:br/>
              <w:t xml:space="preserve">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F3B28">
              <w:rPr>
                <w:rFonts w:eastAsiaTheme="minorHAnsi"/>
                <w:sz w:val="18"/>
                <w:szCs w:val="18"/>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4</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 xml:space="preserve">Пункт 4.3.4 раздела 4 конкурсной документации </w:t>
            </w:r>
          </w:p>
        </w:tc>
        <w:tc>
          <w:tcPr>
            <w:tcW w:w="1832" w:type="pct"/>
            <w:vAlign w:val="center"/>
          </w:tcPr>
          <w:p w:rsidR="008F3B28" w:rsidRPr="008F3B28" w:rsidRDefault="008F3B28" w:rsidP="008F3B28">
            <w:pPr>
              <w:jc w:val="both"/>
              <w:rPr>
                <w:sz w:val="18"/>
                <w:szCs w:val="18"/>
              </w:rPr>
            </w:pPr>
            <w:r w:rsidRPr="008F3B28">
              <w:rPr>
                <w:sz w:val="18"/>
                <w:szCs w:val="18"/>
              </w:rPr>
              <w:t>Прошу пояснить, необходимо ли в приложении № 4 указывать все государственные регистрационн</w:t>
            </w:r>
            <w:r>
              <w:rPr>
                <w:sz w:val="18"/>
                <w:szCs w:val="18"/>
              </w:rPr>
              <w:t xml:space="preserve">ые знаки транспортных средств, </w:t>
            </w:r>
            <w:r w:rsidRPr="008F3B28">
              <w:rPr>
                <w:sz w:val="18"/>
                <w:szCs w:val="18"/>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2109" w:type="pct"/>
            <w:vAlign w:val="center"/>
          </w:tcPr>
          <w:p w:rsidR="008F3B28" w:rsidRPr="008F3B28" w:rsidRDefault="008F3B28" w:rsidP="008F3B28">
            <w:pPr>
              <w:jc w:val="both"/>
              <w:rPr>
                <w:rFonts w:eastAsia="Calibri"/>
                <w:sz w:val="18"/>
                <w:szCs w:val="18"/>
              </w:rPr>
            </w:pPr>
            <w:r w:rsidRPr="008F3B28">
              <w:rPr>
                <w:sz w:val="18"/>
                <w:szCs w:val="18"/>
              </w:rPr>
              <w:t>В соответствии пунктом 2 части 4.1 статьи 24 Федерального закона от 13 июля 2015 года №</w:t>
            </w:r>
            <w:r>
              <w:rPr>
                <w:sz w:val="18"/>
                <w:szCs w:val="18"/>
              </w:rPr>
              <w:t xml:space="preserve"> </w:t>
            </w:r>
            <w:r w:rsidRPr="008F3B28">
              <w:rPr>
                <w:sz w:val="18"/>
                <w:szCs w:val="1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заявка на участие в открытом конкурсе должна содержать</w:t>
            </w:r>
            <w:r>
              <w:rPr>
                <w:sz w:val="18"/>
                <w:szCs w:val="18"/>
              </w:rPr>
              <w:t xml:space="preserve"> </w:t>
            </w:r>
            <w:r w:rsidRPr="008F3B28">
              <w:rPr>
                <w:rFonts w:eastAsiaTheme="minorHAnsi"/>
                <w:sz w:val="18"/>
                <w:szCs w:val="18"/>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5</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4.3.6 раздела 4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Документами, подтверждающими сведения о транспортных средствах, согласно пункту 4.3.6. конкурсной документации, являются:</w:t>
            </w:r>
          </w:p>
          <w:p w:rsidR="008F3B28" w:rsidRPr="008F3B28" w:rsidRDefault="008F3B28" w:rsidP="008F3B28">
            <w:pPr>
              <w:jc w:val="both"/>
              <w:rPr>
                <w:sz w:val="18"/>
                <w:szCs w:val="18"/>
              </w:rPr>
            </w:pPr>
            <w:r>
              <w:rPr>
                <w:sz w:val="18"/>
                <w:szCs w:val="18"/>
              </w:rPr>
              <w:t xml:space="preserve">- </w:t>
            </w:r>
            <w:r w:rsidRPr="008F3B28">
              <w:rPr>
                <w:sz w:val="18"/>
                <w:szCs w:val="18"/>
              </w:rPr>
              <w:t>копии паспорта транспортного средства;</w:t>
            </w:r>
          </w:p>
          <w:p w:rsidR="008F3B28" w:rsidRPr="008F3B28" w:rsidRDefault="008F3B28" w:rsidP="008F3B28">
            <w:pPr>
              <w:jc w:val="both"/>
              <w:rPr>
                <w:sz w:val="18"/>
                <w:szCs w:val="18"/>
              </w:rPr>
            </w:pPr>
            <w:r>
              <w:rPr>
                <w:sz w:val="18"/>
                <w:szCs w:val="18"/>
              </w:rPr>
              <w:t xml:space="preserve">- </w:t>
            </w:r>
            <w:r w:rsidRPr="008F3B28">
              <w:rPr>
                <w:sz w:val="18"/>
                <w:szCs w:val="18"/>
              </w:rPr>
              <w:t>копии свидетельства о регистрации транспортного средства;</w:t>
            </w:r>
          </w:p>
          <w:p w:rsidR="008F3B28" w:rsidRPr="008F3B28" w:rsidRDefault="008F3B28" w:rsidP="008F3B28">
            <w:pPr>
              <w:jc w:val="both"/>
              <w:rPr>
                <w:sz w:val="18"/>
                <w:szCs w:val="18"/>
              </w:rPr>
            </w:pPr>
            <w:r>
              <w:rPr>
                <w:sz w:val="18"/>
                <w:szCs w:val="18"/>
              </w:rPr>
              <w:t xml:space="preserve">- </w:t>
            </w:r>
            <w:r w:rsidRPr="008F3B28">
              <w:rPr>
                <w:sz w:val="18"/>
                <w:szCs w:val="18"/>
              </w:rPr>
              <w:t>копии договоров аренды транспортного средства.</w:t>
            </w:r>
          </w:p>
          <w:p w:rsidR="008F3B28" w:rsidRPr="008F3B28" w:rsidRDefault="008F3B28" w:rsidP="008F3B28">
            <w:pPr>
              <w:jc w:val="both"/>
              <w:rPr>
                <w:sz w:val="18"/>
                <w:szCs w:val="18"/>
              </w:rPr>
            </w:pPr>
            <w:r>
              <w:rPr>
                <w:sz w:val="18"/>
                <w:szCs w:val="18"/>
              </w:rPr>
              <w:t xml:space="preserve">1. </w:t>
            </w:r>
            <w:r w:rsidRPr="008F3B28">
              <w:rPr>
                <w:sz w:val="18"/>
                <w:szCs w:val="18"/>
              </w:rPr>
              <w:t>Является ли предоставление вышеуказанных документов обязательным для заявителя?</w:t>
            </w:r>
          </w:p>
          <w:p w:rsidR="008F3B28" w:rsidRPr="008F3B28" w:rsidRDefault="008F3B28" w:rsidP="008F3B28">
            <w:pPr>
              <w:jc w:val="both"/>
              <w:rPr>
                <w:sz w:val="18"/>
                <w:szCs w:val="18"/>
              </w:rPr>
            </w:pPr>
            <w:r>
              <w:rPr>
                <w:sz w:val="18"/>
                <w:szCs w:val="18"/>
              </w:rPr>
              <w:t xml:space="preserve">2. </w:t>
            </w:r>
            <w:r w:rsidRPr="008F3B28">
              <w:rPr>
                <w:sz w:val="18"/>
                <w:szCs w:val="18"/>
              </w:rPr>
              <w:t>Будет заявитель отклонен от участия в открытом конкурсе в случае не предоставления данных документов в составе заявки на участие в открытом конкурсе?</w:t>
            </w:r>
          </w:p>
          <w:p w:rsidR="008F3B28" w:rsidRPr="008F3B28" w:rsidRDefault="008F3B28" w:rsidP="008F3B28">
            <w:pPr>
              <w:jc w:val="both"/>
              <w:rPr>
                <w:sz w:val="18"/>
                <w:szCs w:val="18"/>
              </w:rPr>
            </w:pPr>
            <w:r>
              <w:rPr>
                <w:sz w:val="18"/>
                <w:szCs w:val="18"/>
              </w:rPr>
              <w:t xml:space="preserve">3. </w:t>
            </w:r>
            <w:r w:rsidRPr="008F3B28">
              <w:rPr>
                <w:sz w:val="18"/>
                <w:szCs w:val="18"/>
              </w:rPr>
              <w:t>Допускается ли заявителем предоставление договоров лизинга, договора о намерениях приобретения транспортных средств или иных документов, подтверждающих наличие на ином законном основании транспортных средств (если да, то конкретно каких документов)?</w:t>
            </w:r>
          </w:p>
        </w:tc>
        <w:tc>
          <w:tcPr>
            <w:tcW w:w="2109" w:type="pct"/>
            <w:vAlign w:val="center"/>
          </w:tcPr>
          <w:p w:rsidR="008F3B28" w:rsidRPr="008F3B28" w:rsidRDefault="008F3B28" w:rsidP="008F3B28">
            <w:pPr>
              <w:jc w:val="both"/>
              <w:rPr>
                <w:rFonts w:eastAsiaTheme="minorHAnsi"/>
                <w:sz w:val="18"/>
                <w:szCs w:val="18"/>
              </w:rPr>
            </w:pPr>
            <w:r w:rsidRPr="008F3B28">
              <w:rPr>
                <w:sz w:val="18"/>
                <w:szCs w:val="18"/>
              </w:rPr>
              <w:t>В соответствии с пунктом 2 части 1 статьи 23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одним из условий допуска к участию в открытом конкурсе является</w:t>
            </w:r>
            <w:r w:rsidRPr="008F3B28">
              <w:rPr>
                <w:rFonts w:eastAsiaTheme="minorHAnsi"/>
                <w:sz w:val="18"/>
                <w:szCs w:val="1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F3B28" w:rsidRPr="008F3B28" w:rsidRDefault="008F3B28" w:rsidP="008F3B28">
            <w:pPr>
              <w:jc w:val="both"/>
              <w:rPr>
                <w:rFonts w:eastAsiaTheme="minorHAnsi"/>
                <w:sz w:val="18"/>
                <w:szCs w:val="18"/>
              </w:rPr>
            </w:pPr>
            <w:r w:rsidRPr="008F3B28">
              <w:rPr>
                <w:rFonts w:eastAsiaTheme="minorHAnsi"/>
                <w:sz w:val="18"/>
                <w:szCs w:val="18"/>
              </w:rPr>
              <w:t>Таким образом, предоставление указанных документов является обязательным, в случае не предоставления в допуске к участию в открытом конкурсе будет отказано.</w:t>
            </w:r>
          </w:p>
          <w:p w:rsidR="008F3B28" w:rsidRPr="008F3B28" w:rsidRDefault="008F3B28" w:rsidP="008F3B28">
            <w:pPr>
              <w:jc w:val="both"/>
              <w:rPr>
                <w:rFonts w:eastAsiaTheme="minorHAnsi"/>
                <w:sz w:val="18"/>
                <w:szCs w:val="18"/>
              </w:rPr>
            </w:pPr>
            <w:r w:rsidRPr="008F3B28">
              <w:rPr>
                <w:rFonts w:eastAsiaTheme="minorHAnsi"/>
                <w:sz w:val="18"/>
                <w:szCs w:val="18"/>
              </w:rPr>
              <w:t xml:space="preserve">Действующей редакцией статьи 23 Федерального закона </w:t>
            </w:r>
            <w:r w:rsidRPr="008F3B28">
              <w:rPr>
                <w:sz w:val="18"/>
                <w:szCs w:val="18"/>
              </w:rPr>
              <w:t xml:space="preserve">от 13 июля 2015 года № 220-ФЗ не предусмотрено принятие на себя обязательства по </w:t>
            </w:r>
            <w:r w:rsidRPr="008F3B28">
              <w:rPr>
                <w:sz w:val="18"/>
                <w:szCs w:val="18"/>
              </w:rPr>
              <w:lastRenderedPageBreak/>
              <w:t>приобретению транспортных средств в сроки, установленные конкурсной документацией.</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lastRenderedPageBreak/>
              <w:t>6</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4.3.7 раздела 4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Документами, подтверждающими характеристики транспортных средствах, согласно пункту 4.3.7. конкурсной документации, являются:</w:t>
            </w:r>
          </w:p>
          <w:p w:rsidR="008F3B28" w:rsidRPr="008F3B28" w:rsidRDefault="008F3B28" w:rsidP="008F3B28">
            <w:pPr>
              <w:jc w:val="both"/>
              <w:rPr>
                <w:sz w:val="18"/>
                <w:szCs w:val="18"/>
              </w:rPr>
            </w:pPr>
            <w:r>
              <w:rPr>
                <w:sz w:val="18"/>
                <w:szCs w:val="18"/>
              </w:rPr>
              <w:t xml:space="preserve">- </w:t>
            </w:r>
            <w:r w:rsidRPr="008F3B28">
              <w:rPr>
                <w:sz w:val="18"/>
                <w:szCs w:val="18"/>
              </w:rPr>
              <w:t>спецификация к транспортным средствам (технические характеристики транспортных средств);</w:t>
            </w:r>
          </w:p>
          <w:p w:rsidR="008F3B28" w:rsidRPr="008F3B28" w:rsidRDefault="008F3B28" w:rsidP="008F3B28">
            <w:pPr>
              <w:jc w:val="both"/>
              <w:rPr>
                <w:sz w:val="18"/>
                <w:szCs w:val="18"/>
              </w:rPr>
            </w:pPr>
            <w:r w:rsidRPr="008F3B28">
              <w:rPr>
                <w:sz w:val="18"/>
                <w:szCs w:val="18"/>
              </w:rPr>
              <w:t>- копии документов, подтверждающих наличие в транспортном средстве системы безналичной оплаты проезда.</w:t>
            </w:r>
          </w:p>
          <w:p w:rsidR="008F3B28" w:rsidRPr="008F3B28" w:rsidRDefault="008F3B28" w:rsidP="008F3B28">
            <w:pPr>
              <w:jc w:val="both"/>
              <w:rPr>
                <w:sz w:val="18"/>
                <w:szCs w:val="18"/>
              </w:rPr>
            </w:pPr>
            <w:r>
              <w:rPr>
                <w:sz w:val="18"/>
                <w:szCs w:val="18"/>
              </w:rPr>
              <w:t xml:space="preserve">1. </w:t>
            </w:r>
            <w:r w:rsidRPr="008F3B28">
              <w:rPr>
                <w:sz w:val="18"/>
                <w:szCs w:val="18"/>
              </w:rPr>
              <w:t>Является ли предоставление вышеуказанных документов обязательным для заявителя либо достаточно приложить сведения о предлагаемых транспортных средствах (приложение № 5)?</w:t>
            </w:r>
          </w:p>
          <w:p w:rsidR="008F3B28" w:rsidRPr="008F3B28" w:rsidRDefault="008F3B28" w:rsidP="008F3B28">
            <w:pPr>
              <w:jc w:val="both"/>
              <w:rPr>
                <w:sz w:val="18"/>
                <w:szCs w:val="18"/>
              </w:rPr>
            </w:pPr>
            <w:r>
              <w:rPr>
                <w:sz w:val="18"/>
                <w:szCs w:val="18"/>
              </w:rPr>
              <w:t xml:space="preserve">2. </w:t>
            </w:r>
            <w:r w:rsidRPr="008F3B28">
              <w:rPr>
                <w:sz w:val="18"/>
                <w:szCs w:val="18"/>
              </w:rPr>
              <w:t>Будет ли заявитель отклонен от участия в открытом конкурсе в случае не предоставления данных документов в составе заявки на участие в открытом конкурсе?</w:t>
            </w:r>
          </w:p>
        </w:tc>
        <w:tc>
          <w:tcPr>
            <w:tcW w:w="2109" w:type="pct"/>
            <w:vAlign w:val="center"/>
          </w:tcPr>
          <w:p w:rsidR="008F3B28" w:rsidRPr="008F3B28" w:rsidRDefault="008F3B28" w:rsidP="008F3B28">
            <w:pPr>
              <w:jc w:val="both"/>
              <w:rPr>
                <w:rFonts w:eastAsia="Calibri"/>
                <w:sz w:val="18"/>
                <w:szCs w:val="18"/>
              </w:rPr>
            </w:pPr>
            <w:r w:rsidRPr="008F3B28">
              <w:rPr>
                <w:rFonts w:eastAsia="Calibri"/>
                <w:sz w:val="18"/>
                <w:szCs w:val="18"/>
              </w:rPr>
              <w:t>В соответствии с пунктом 4.3.7 конкурсной документами, подтверждающими характеристики транспортных средств, являются:</w:t>
            </w:r>
          </w:p>
          <w:p w:rsidR="008F3B28" w:rsidRPr="008F3B28" w:rsidRDefault="008F3B28" w:rsidP="008F3B28">
            <w:pPr>
              <w:jc w:val="both"/>
              <w:rPr>
                <w:rFonts w:eastAsia="Calibri"/>
                <w:sz w:val="18"/>
                <w:szCs w:val="18"/>
              </w:rPr>
            </w:pPr>
            <w:r w:rsidRPr="008F3B28">
              <w:rPr>
                <w:rFonts w:eastAsia="Calibri"/>
                <w:sz w:val="18"/>
                <w:szCs w:val="18"/>
              </w:rPr>
              <w:t>- спецификация к транспортным средствам (технические характеристики транспортных средств);</w:t>
            </w:r>
          </w:p>
          <w:p w:rsidR="008F3B28" w:rsidRPr="008F3B28" w:rsidRDefault="008F3B28" w:rsidP="008F3B28">
            <w:pPr>
              <w:jc w:val="both"/>
              <w:rPr>
                <w:rFonts w:eastAsia="Calibri"/>
                <w:sz w:val="18"/>
                <w:szCs w:val="18"/>
              </w:rPr>
            </w:pPr>
            <w:r w:rsidRPr="008F3B28">
              <w:rPr>
                <w:rFonts w:eastAsia="Calibri"/>
                <w:sz w:val="18"/>
                <w:szCs w:val="18"/>
              </w:rPr>
              <w:t>- копии документов, подтверждающих наличие в транспортном средстве системы безналичной оплаты проезда;</w:t>
            </w:r>
          </w:p>
          <w:p w:rsidR="008F3B28" w:rsidRPr="008F3B28" w:rsidRDefault="008F3B28" w:rsidP="008F3B28">
            <w:pPr>
              <w:jc w:val="both"/>
              <w:rPr>
                <w:rFonts w:eastAsiaTheme="minorHAnsi"/>
                <w:sz w:val="18"/>
                <w:szCs w:val="18"/>
              </w:rPr>
            </w:pPr>
            <w:r w:rsidRPr="008F3B28">
              <w:rPr>
                <w:rFonts w:eastAsia="Calibri"/>
                <w:sz w:val="18"/>
                <w:szCs w:val="18"/>
              </w:rPr>
              <w:t xml:space="preserve">В случае непредставления указанных документов </w:t>
            </w:r>
            <w:r w:rsidRPr="008F3B28">
              <w:rPr>
                <w:rFonts w:eastAsiaTheme="minorHAnsi"/>
                <w:sz w:val="18"/>
                <w:szCs w:val="18"/>
              </w:rPr>
              <w:t xml:space="preserve">балы по критерию К3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соответствующим характеристикам  </w:t>
            </w:r>
            <w:r w:rsidRPr="008F3B28">
              <w:rPr>
                <w:rFonts w:eastAsia="Calibri"/>
                <w:sz w:val="18"/>
                <w:szCs w:val="18"/>
              </w:rPr>
              <w:t>транспортных средств начисляться не будут.</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7</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4.4 раздела 4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Согласно требований данного пункта на конверте указывается порядковый номер лота и номер извещения о проведения открытого конкурса.</w:t>
            </w:r>
          </w:p>
          <w:p w:rsidR="008F3B28" w:rsidRPr="008F3B28" w:rsidRDefault="008F3B28" w:rsidP="008F3B28">
            <w:pPr>
              <w:jc w:val="both"/>
              <w:rPr>
                <w:sz w:val="18"/>
                <w:szCs w:val="18"/>
              </w:rPr>
            </w:pPr>
            <w:r w:rsidRPr="008F3B28">
              <w:rPr>
                <w:sz w:val="18"/>
                <w:szCs w:val="18"/>
              </w:rPr>
              <w:t>В размещенном на официальном сайте извещения о проведения открытого конкурса отсутствует номер.</w:t>
            </w:r>
          </w:p>
          <w:p w:rsidR="008F3B28" w:rsidRPr="008F3B28" w:rsidRDefault="008F3B28" w:rsidP="008F3B28">
            <w:pPr>
              <w:jc w:val="both"/>
              <w:rPr>
                <w:sz w:val="18"/>
                <w:szCs w:val="18"/>
              </w:rPr>
            </w:pPr>
            <w:r w:rsidRPr="008F3B28">
              <w:rPr>
                <w:sz w:val="18"/>
                <w:szCs w:val="18"/>
              </w:rPr>
              <w:t>Каким в таком случае должен быть указан номер извещения о проведения открытого конкурса?</w:t>
            </w:r>
          </w:p>
        </w:tc>
        <w:tc>
          <w:tcPr>
            <w:tcW w:w="2109" w:type="pct"/>
            <w:vAlign w:val="center"/>
          </w:tcPr>
          <w:p w:rsidR="008F3B28" w:rsidRPr="008F3B28" w:rsidRDefault="008F3B28" w:rsidP="008F3B28">
            <w:pPr>
              <w:jc w:val="both"/>
              <w:rPr>
                <w:sz w:val="18"/>
                <w:szCs w:val="18"/>
              </w:rPr>
            </w:pPr>
            <w:r w:rsidRPr="008F3B28">
              <w:rPr>
                <w:sz w:val="18"/>
                <w:szCs w:val="18"/>
              </w:rPr>
              <w:t>В данном случае на конверте с заявкой указывается номер распоряжения о проведении открытого конкурса</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8</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4.5 раздела 4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В извещении о проведения открытого конкурса и конкурсной документации отсутствует конкретное время (срока) подачи заявок на участие в открытом конкурсе. В тоже время согласно пункта 7.3. предусматривается возможность подачи заявок на участие в открытом конкурсе непосредственно перед вскрытием конвертов.</w:t>
            </w:r>
          </w:p>
          <w:p w:rsidR="008F3B28" w:rsidRPr="008F3B28" w:rsidRDefault="008F3B28" w:rsidP="008F3B28">
            <w:pPr>
              <w:jc w:val="both"/>
              <w:rPr>
                <w:sz w:val="18"/>
                <w:szCs w:val="18"/>
              </w:rPr>
            </w:pPr>
            <w:r w:rsidRPr="008F3B28">
              <w:rPr>
                <w:sz w:val="18"/>
                <w:szCs w:val="18"/>
              </w:rPr>
              <w:t>В связи с этим прошу пояснить до какого времени 5 августа 2019 года допускается подача заявок на участие в открытом конкурсе?</w:t>
            </w:r>
          </w:p>
        </w:tc>
        <w:tc>
          <w:tcPr>
            <w:tcW w:w="2109" w:type="pct"/>
            <w:vAlign w:val="center"/>
          </w:tcPr>
          <w:p w:rsidR="008F3B28" w:rsidRPr="008F3B28" w:rsidRDefault="008F3B28" w:rsidP="008F3B28">
            <w:pPr>
              <w:jc w:val="both"/>
              <w:rPr>
                <w:rFonts w:eastAsia="Calibri"/>
                <w:sz w:val="18"/>
                <w:szCs w:val="18"/>
              </w:rPr>
            </w:pPr>
            <w:r w:rsidRPr="008F3B28">
              <w:rPr>
                <w:rFonts w:eastAsia="Calibri"/>
                <w:sz w:val="18"/>
                <w:szCs w:val="18"/>
              </w:rPr>
              <w:t>В соответствии с пунктом 7.3 конкурсной документации подача заявок на участие в открытом конкурсе осуществляется до начала процедуры вскрытия конвертов с заявками на участие в открытом конкурсе</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9</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8.1 раздела 9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Согласно пункту 8.1 конкурсной документации срок рассмотрения заявок на участие в открытом конкурсе не может превышать двадцати дней со дня вскрытия конвертов. При этом извещением о проведении открытого конкурса предусмотрен срок рассмотрения заявок с 5 по 11 августа 2019 года.</w:t>
            </w:r>
          </w:p>
          <w:p w:rsidR="008F3B28" w:rsidRPr="008F3B28" w:rsidRDefault="008F3B28" w:rsidP="008F3B28">
            <w:pPr>
              <w:jc w:val="both"/>
              <w:rPr>
                <w:sz w:val="18"/>
                <w:szCs w:val="18"/>
              </w:rPr>
            </w:pPr>
            <w:r w:rsidRPr="008F3B28">
              <w:rPr>
                <w:sz w:val="18"/>
                <w:szCs w:val="18"/>
              </w:rPr>
              <w:t>В связи с этим прошу пояснить существует ли порядок, определяющий очередность рассмотрения заявок на участие в открытом конкурсе?</w:t>
            </w:r>
          </w:p>
        </w:tc>
        <w:tc>
          <w:tcPr>
            <w:tcW w:w="2109" w:type="pct"/>
            <w:vAlign w:val="center"/>
          </w:tcPr>
          <w:p w:rsidR="008F3B28" w:rsidRPr="008F3B28" w:rsidRDefault="008F3B28" w:rsidP="008F3B28">
            <w:pPr>
              <w:jc w:val="both"/>
              <w:rPr>
                <w:rFonts w:eastAsiaTheme="minorHAnsi"/>
                <w:sz w:val="18"/>
                <w:szCs w:val="18"/>
              </w:rPr>
            </w:pPr>
            <w:r w:rsidRPr="008F3B28">
              <w:rPr>
                <w:rFonts w:eastAsiaTheme="minorHAnsi"/>
                <w:sz w:val="18"/>
                <w:szCs w:val="18"/>
              </w:rPr>
              <w:t>Порядок, определяющий очередность рассмотрения заявок на участие в открытом конкурсе конкурсной документацией не предусмотрен.</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10</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9.1 раздела 9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Прошу объяснить, является ли процедура оценки и сопоставления заявок на участие в открытом конкурсе публичной, разрешается ли всем заявителям (их представителям) присутствовать при проведении данной процедуры.</w:t>
            </w:r>
          </w:p>
        </w:tc>
        <w:tc>
          <w:tcPr>
            <w:tcW w:w="2109" w:type="pct"/>
            <w:vAlign w:val="center"/>
          </w:tcPr>
          <w:p w:rsidR="008F3B28" w:rsidRPr="008F3B28" w:rsidRDefault="008F3B28" w:rsidP="008F3B28">
            <w:pPr>
              <w:jc w:val="both"/>
              <w:rPr>
                <w:sz w:val="18"/>
                <w:szCs w:val="18"/>
              </w:rPr>
            </w:pPr>
            <w:r w:rsidRPr="008F3B28">
              <w:rPr>
                <w:sz w:val="18"/>
                <w:szCs w:val="18"/>
              </w:rPr>
              <w:t>Действующим законодательством публичного проведения оценки и сопоставления заявок не предусмотрено.</w:t>
            </w:r>
          </w:p>
        </w:tc>
      </w:tr>
      <w:tr w:rsidR="008F3B28" w:rsidRPr="00FF7767" w:rsidTr="008F3B28">
        <w:trPr>
          <w:trHeight w:val="70"/>
        </w:trPr>
        <w:tc>
          <w:tcPr>
            <w:tcW w:w="302" w:type="pct"/>
            <w:vAlign w:val="center"/>
          </w:tcPr>
          <w:p w:rsidR="008F3B28" w:rsidRPr="008F3B28" w:rsidRDefault="008F3B28" w:rsidP="008F3B28">
            <w:pPr>
              <w:widowControl w:val="0"/>
              <w:jc w:val="center"/>
              <w:rPr>
                <w:sz w:val="20"/>
                <w:szCs w:val="20"/>
              </w:rPr>
            </w:pPr>
            <w:r w:rsidRPr="008F3B28">
              <w:rPr>
                <w:sz w:val="20"/>
                <w:szCs w:val="20"/>
              </w:rPr>
              <w:t>11</w:t>
            </w:r>
          </w:p>
        </w:tc>
        <w:tc>
          <w:tcPr>
            <w:tcW w:w="756" w:type="pct"/>
            <w:vAlign w:val="center"/>
          </w:tcPr>
          <w:p w:rsidR="008F3B28" w:rsidRPr="008F3B28" w:rsidRDefault="008F3B28" w:rsidP="008F3B28">
            <w:pPr>
              <w:widowControl w:val="0"/>
              <w:ind w:left="-32" w:right="-52" w:firstLine="14"/>
              <w:jc w:val="center"/>
              <w:rPr>
                <w:sz w:val="20"/>
                <w:szCs w:val="20"/>
              </w:rPr>
            </w:pPr>
            <w:r w:rsidRPr="008F3B28">
              <w:rPr>
                <w:sz w:val="20"/>
                <w:szCs w:val="20"/>
              </w:rPr>
              <w:t>Пункт 10.2 раздела 10 конкурсной документации</w:t>
            </w:r>
          </w:p>
        </w:tc>
        <w:tc>
          <w:tcPr>
            <w:tcW w:w="1832" w:type="pct"/>
            <w:vAlign w:val="center"/>
          </w:tcPr>
          <w:p w:rsidR="008F3B28" w:rsidRPr="008F3B28" w:rsidRDefault="008F3B28" w:rsidP="008F3B28">
            <w:pPr>
              <w:jc w:val="both"/>
              <w:rPr>
                <w:sz w:val="18"/>
                <w:szCs w:val="18"/>
              </w:rPr>
            </w:pPr>
            <w:r w:rsidRPr="008F3B28">
              <w:rPr>
                <w:sz w:val="18"/>
                <w:szCs w:val="18"/>
              </w:rPr>
              <w:t>Прошу уточнить сроки направления победителю открытого конкурса уведомления о предоставлении транспортных средств на осмотр и пояснить в какие сроки и в каком месте будет производиться осмотр транспортных средств.</w:t>
            </w:r>
          </w:p>
          <w:p w:rsidR="008F3B28" w:rsidRPr="008F3B28" w:rsidRDefault="008F3B28" w:rsidP="008F3B28">
            <w:pPr>
              <w:jc w:val="both"/>
              <w:rPr>
                <w:sz w:val="18"/>
                <w:szCs w:val="18"/>
              </w:rPr>
            </w:pPr>
            <w:r w:rsidRPr="008F3B28">
              <w:rPr>
                <w:sz w:val="18"/>
                <w:szCs w:val="18"/>
              </w:rPr>
              <w:lastRenderedPageBreak/>
              <w:t>В какие сроки будет производиться осмотр транспортных средств участника открытого конкурса, заявке которого присвоен второго конкурса.</w:t>
            </w:r>
          </w:p>
        </w:tc>
        <w:tc>
          <w:tcPr>
            <w:tcW w:w="2109" w:type="pct"/>
            <w:vAlign w:val="center"/>
          </w:tcPr>
          <w:p w:rsidR="008F3B28" w:rsidRPr="008F3B28" w:rsidRDefault="008F3B28" w:rsidP="008F3B28">
            <w:pPr>
              <w:jc w:val="both"/>
              <w:rPr>
                <w:rFonts w:eastAsia="Calibri"/>
                <w:sz w:val="18"/>
                <w:szCs w:val="18"/>
              </w:rPr>
            </w:pPr>
            <w:r w:rsidRPr="008F3B28">
              <w:rPr>
                <w:sz w:val="18"/>
                <w:szCs w:val="18"/>
              </w:rPr>
              <w:lastRenderedPageBreak/>
              <w:t>В соответствии  с пунктом 10.2 конкурсной документации о</w:t>
            </w:r>
            <w:r w:rsidRPr="008F3B28">
              <w:rPr>
                <w:rFonts w:eastAsia="Calibri"/>
                <w:sz w:val="18"/>
                <w:szCs w:val="18"/>
              </w:rPr>
              <w:t>рганизатор открытого конкурса в срок, не превышающий десять рабочих дней, направляет победителю открытого конкурса уведомление о предоставлении транспортных средств на осмотр.</w:t>
            </w:r>
          </w:p>
          <w:p w:rsidR="008F3B28" w:rsidRPr="008F3B28" w:rsidRDefault="008F3B28" w:rsidP="008F3B28">
            <w:pPr>
              <w:jc w:val="both"/>
              <w:rPr>
                <w:sz w:val="18"/>
                <w:szCs w:val="18"/>
              </w:rPr>
            </w:pPr>
            <w:r w:rsidRPr="008F3B28">
              <w:rPr>
                <w:sz w:val="18"/>
                <w:szCs w:val="18"/>
              </w:rPr>
              <w:t xml:space="preserve">В соответствии с пунктом 10.3 конкурсной </w:t>
            </w:r>
            <w:r w:rsidRPr="008F3B28">
              <w:rPr>
                <w:sz w:val="18"/>
                <w:szCs w:val="18"/>
              </w:rPr>
              <w:lastRenderedPageBreak/>
              <w:t>документации</w:t>
            </w:r>
            <w:r w:rsidRPr="008F3B28">
              <w:rPr>
                <w:rFonts w:eastAsia="Calibri"/>
                <w:sz w:val="18"/>
                <w:szCs w:val="18"/>
              </w:rPr>
              <w:t xml:space="preserve"> </w:t>
            </w:r>
            <w:r w:rsidRPr="008F3B28">
              <w:rPr>
                <w:sz w:val="18"/>
                <w:szCs w:val="18"/>
              </w:rPr>
              <w:t>осмотр транспортных средств проводится в месте и в сроки, указанные в уведомлении.</w:t>
            </w:r>
          </w:p>
          <w:p w:rsidR="008F3B28" w:rsidRPr="008F3B28" w:rsidRDefault="008F3B28" w:rsidP="008F3B28">
            <w:pPr>
              <w:jc w:val="both"/>
              <w:rPr>
                <w:rFonts w:eastAsia="Calibri"/>
                <w:sz w:val="18"/>
                <w:szCs w:val="18"/>
              </w:rPr>
            </w:pPr>
            <w:r w:rsidRPr="008F3B28">
              <w:rPr>
                <w:rFonts w:eastAsia="Calibri"/>
                <w:sz w:val="18"/>
                <w:szCs w:val="18"/>
              </w:rPr>
              <w:t>Пунктом 10.5 конкурсной документации установлено, что уведомление о предоставлении транспортных средств участнику, заявке которого присвоен второй номер, направляется не позднее одного рабочего дня, следующего за днем подписания акта осмотра транспортных средств.</w:t>
            </w:r>
          </w:p>
        </w:tc>
      </w:tr>
    </w:tbl>
    <w:p w:rsidR="008F3B28" w:rsidRPr="008F3B28" w:rsidRDefault="008F3B28" w:rsidP="008F3B28">
      <w:pPr>
        <w:rPr>
          <w:b/>
          <w:sz w:val="28"/>
          <w:szCs w:val="18"/>
        </w:rPr>
      </w:pPr>
    </w:p>
    <w:sectPr w:rsidR="008F3B28" w:rsidRPr="008F3B28" w:rsidSect="00BF1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2DB4126C"/>
    <w:multiLevelType w:val="hybridMultilevel"/>
    <w:tmpl w:val="1968F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875175"/>
    <w:multiLevelType w:val="hybridMultilevel"/>
    <w:tmpl w:val="FF02B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61354"/>
    <w:rsid w:val="000015A0"/>
    <w:rsid w:val="0000495D"/>
    <w:rsid w:val="00007F2A"/>
    <w:rsid w:val="00026543"/>
    <w:rsid w:val="0003243E"/>
    <w:rsid w:val="00036A96"/>
    <w:rsid w:val="00050C81"/>
    <w:rsid w:val="00054859"/>
    <w:rsid w:val="000571D2"/>
    <w:rsid w:val="000628EF"/>
    <w:rsid w:val="00066066"/>
    <w:rsid w:val="00066F1E"/>
    <w:rsid w:val="00075249"/>
    <w:rsid w:val="000765B9"/>
    <w:rsid w:val="000853D6"/>
    <w:rsid w:val="000867CE"/>
    <w:rsid w:val="000D05BD"/>
    <w:rsid w:val="000E1667"/>
    <w:rsid w:val="0010079E"/>
    <w:rsid w:val="00104954"/>
    <w:rsid w:val="00106456"/>
    <w:rsid w:val="001138D0"/>
    <w:rsid w:val="00113E17"/>
    <w:rsid w:val="00115174"/>
    <w:rsid w:val="0011606D"/>
    <w:rsid w:val="00132594"/>
    <w:rsid w:val="00137526"/>
    <w:rsid w:val="00141C44"/>
    <w:rsid w:val="0014489E"/>
    <w:rsid w:val="00145486"/>
    <w:rsid w:val="0014625F"/>
    <w:rsid w:val="00150272"/>
    <w:rsid w:val="00164192"/>
    <w:rsid w:val="00177179"/>
    <w:rsid w:val="001A267F"/>
    <w:rsid w:val="001A5875"/>
    <w:rsid w:val="001B6787"/>
    <w:rsid w:val="001C0490"/>
    <w:rsid w:val="001D01CF"/>
    <w:rsid w:val="001D4B4E"/>
    <w:rsid w:val="001E7E75"/>
    <w:rsid w:val="001F45E2"/>
    <w:rsid w:val="001F647B"/>
    <w:rsid w:val="00207726"/>
    <w:rsid w:val="00207D8F"/>
    <w:rsid w:val="002100DF"/>
    <w:rsid w:val="00222ABE"/>
    <w:rsid w:val="00223102"/>
    <w:rsid w:val="0023380B"/>
    <w:rsid w:val="002355C4"/>
    <w:rsid w:val="00247885"/>
    <w:rsid w:val="00250CB7"/>
    <w:rsid w:val="00256901"/>
    <w:rsid w:val="00260117"/>
    <w:rsid w:val="00260487"/>
    <w:rsid w:val="00260A99"/>
    <w:rsid w:val="00277B87"/>
    <w:rsid w:val="002822A2"/>
    <w:rsid w:val="00284FF5"/>
    <w:rsid w:val="00286BAB"/>
    <w:rsid w:val="00291BCA"/>
    <w:rsid w:val="002A5FA0"/>
    <w:rsid w:val="002C4DC9"/>
    <w:rsid w:val="002C5EB1"/>
    <w:rsid w:val="002D5B56"/>
    <w:rsid w:val="002D6A4D"/>
    <w:rsid w:val="00337F0C"/>
    <w:rsid w:val="003441A0"/>
    <w:rsid w:val="0035014D"/>
    <w:rsid w:val="00362523"/>
    <w:rsid w:val="00371ABC"/>
    <w:rsid w:val="00373414"/>
    <w:rsid w:val="00375858"/>
    <w:rsid w:val="00376F85"/>
    <w:rsid w:val="0038095F"/>
    <w:rsid w:val="0039079E"/>
    <w:rsid w:val="003910C3"/>
    <w:rsid w:val="003A2B36"/>
    <w:rsid w:val="003A379C"/>
    <w:rsid w:val="003A4786"/>
    <w:rsid w:val="003B7B1D"/>
    <w:rsid w:val="003C30EA"/>
    <w:rsid w:val="003D7C49"/>
    <w:rsid w:val="003E7C17"/>
    <w:rsid w:val="003F2961"/>
    <w:rsid w:val="004000BF"/>
    <w:rsid w:val="0040517C"/>
    <w:rsid w:val="004057A0"/>
    <w:rsid w:val="00410AC2"/>
    <w:rsid w:val="00416418"/>
    <w:rsid w:val="00416D87"/>
    <w:rsid w:val="00416FC5"/>
    <w:rsid w:val="00421543"/>
    <w:rsid w:val="004300E5"/>
    <w:rsid w:val="004316A8"/>
    <w:rsid w:val="004444CA"/>
    <w:rsid w:val="004446C1"/>
    <w:rsid w:val="00450EA4"/>
    <w:rsid w:val="00460676"/>
    <w:rsid w:val="00464353"/>
    <w:rsid w:val="00464B35"/>
    <w:rsid w:val="0048237B"/>
    <w:rsid w:val="004825FF"/>
    <w:rsid w:val="004845C7"/>
    <w:rsid w:val="00484D6A"/>
    <w:rsid w:val="00495E52"/>
    <w:rsid w:val="004A20BF"/>
    <w:rsid w:val="004A5418"/>
    <w:rsid w:val="004A5D6A"/>
    <w:rsid w:val="004B3C97"/>
    <w:rsid w:val="004D5715"/>
    <w:rsid w:val="004E130E"/>
    <w:rsid w:val="004E353A"/>
    <w:rsid w:val="004E371A"/>
    <w:rsid w:val="004E436E"/>
    <w:rsid w:val="004F18F9"/>
    <w:rsid w:val="004F22FD"/>
    <w:rsid w:val="004F5DBB"/>
    <w:rsid w:val="005041C1"/>
    <w:rsid w:val="005139CB"/>
    <w:rsid w:val="00514AD4"/>
    <w:rsid w:val="005155C9"/>
    <w:rsid w:val="00516149"/>
    <w:rsid w:val="00527794"/>
    <w:rsid w:val="00536CB0"/>
    <w:rsid w:val="0054036E"/>
    <w:rsid w:val="00541980"/>
    <w:rsid w:val="0054440C"/>
    <w:rsid w:val="005558A6"/>
    <w:rsid w:val="00555E6C"/>
    <w:rsid w:val="00574E9A"/>
    <w:rsid w:val="0057605A"/>
    <w:rsid w:val="00596920"/>
    <w:rsid w:val="005A3EE9"/>
    <w:rsid w:val="005B5760"/>
    <w:rsid w:val="005D2944"/>
    <w:rsid w:val="005D3CA4"/>
    <w:rsid w:val="005D475F"/>
    <w:rsid w:val="005D4BFE"/>
    <w:rsid w:val="005D5FA9"/>
    <w:rsid w:val="005D6331"/>
    <w:rsid w:val="005E3ABE"/>
    <w:rsid w:val="005E407E"/>
    <w:rsid w:val="005F113A"/>
    <w:rsid w:val="006177E6"/>
    <w:rsid w:val="00626086"/>
    <w:rsid w:val="00627DA2"/>
    <w:rsid w:val="0063019D"/>
    <w:rsid w:val="00635867"/>
    <w:rsid w:val="00642724"/>
    <w:rsid w:val="00642CC9"/>
    <w:rsid w:val="00647B28"/>
    <w:rsid w:val="00647E10"/>
    <w:rsid w:val="00653175"/>
    <w:rsid w:val="00663075"/>
    <w:rsid w:val="00671F56"/>
    <w:rsid w:val="00675F16"/>
    <w:rsid w:val="00677178"/>
    <w:rsid w:val="00683A6B"/>
    <w:rsid w:val="006974E0"/>
    <w:rsid w:val="006A198D"/>
    <w:rsid w:val="006A4864"/>
    <w:rsid w:val="006B2790"/>
    <w:rsid w:val="006C244C"/>
    <w:rsid w:val="006C3092"/>
    <w:rsid w:val="006D285D"/>
    <w:rsid w:val="006E1CA4"/>
    <w:rsid w:val="006E3C66"/>
    <w:rsid w:val="006F6F8D"/>
    <w:rsid w:val="00703A41"/>
    <w:rsid w:val="00710B00"/>
    <w:rsid w:val="00714D77"/>
    <w:rsid w:val="007217FA"/>
    <w:rsid w:val="007231A5"/>
    <w:rsid w:val="007247AA"/>
    <w:rsid w:val="00735117"/>
    <w:rsid w:val="00736344"/>
    <w:rsid w:val="00740DD8"/>
    <w:rsid w:val="00745987"/>
    <w:rsid w:val="007551FE"/>
    <w:rsid w:val="007627C7"/>
    <w:rsid w:val="00774BF2"/>
    <w:rsid w:val="00775970"/>
    <w:rsid w:val="00775D8D"/>
    <w:rsid w:val="00775D95"/>
    <w:rsid w:val="00777DD1"/>
    <w:rsid w:val="0078304D"/>
    <w:rsid w:val="00784322"/>
    <w:rsid w:val="0078516F"/>
    <w:rsid w:val="00792820"/>
    <w:rsid w:val="007A3DDF"/>
    <w:rsid w:val="007A75E3"/>
    <w:rsid w:val="007A7BC4"/>
    <w:rsid w:val="007B76ED"/>
    <w:rsid w:val="007C1BC6"/>
    <w:rsid w:val="007C46BF"/>
    <w:rsid w:val="007D291E"/>
    <w:rsid w:val="007D5E08"/>
    <w:rsid w:val="007D60BF"/>
    <w:rsid w:val="007E143C"/>
    <w:rsid w:val="007E625C"/>
    <w:rsid w:val="007E7BFD"/>
    <w:rsid w:val="007F788C"/>
    <w:rsid w:val="007F7AF8"/>
    <w:rsid w:val="00811062"/>
    <w:rsid w:val="00813AC2"/>
    <w:rsid w:val="00814BD9"/>
    <w:rsid w:val="00827B32"/>
    <w:rsid w:val="00837643"/>
    <w:rsid w:val="0085228B"/>
    <w:rsid w:val="00854EAC"/>
    <w:rsid w:val="00884E74"/>
    <w:rsid w:val="00892A02"/>
    <w:rsid w:val="0089462B"/>
    <w:rsid w:val="0089697F"/>
    <w:rsid w:val="008A290B"/>
    <w:rsid w:val="008A394E"/>
    <w:rsid w:val="008C61EA"/>
    <w:rsid w:val="008D6623"/>
    <w:rsid w:val="008E06B2"/>
    <w:rsid w:val="008E2A16"/>
    <w:rsid w:val="008E623C"/>
    <w:rsid w:val="008F3B28"/>
    <w:rsid w:val="009031F1"/>
    <w:rsid w:val="009041A0"/>
    <w:rsid w:val="00905C70"/>
    <w:rsid w:val="009063FA"/>
    <w:rsid w:val="009112A0"/>
    <w:rsid w:val="00916E99"/>
    <w:rsid w:val="009202DE"/>
    <w:rsid w:val="009377B6"/>
    <w:rsid w:val="009408D7"/>
    <w:rsid w:val="00944149"/>
    <w:rsid w:val="009446F0"/>
    <w:rsid w:val="00952BBE"/>
    <w:rsid w:val="00961354"/>
    <w:rsid w:val="00962CDB"/>
    <w:rsid w:val="0096544E"/>
    <w:rsid w:val="00966E30"/>
    <w:rsid w:val="00971CE8"/>
    <w:rsid w:val="00972274"/>
    <w:rsid w:val="0098375C"/>
    <w:rsid w:val="00985867"/>
    <w:rsid w:val="0099472F"/>
    <w:rsid w:val="00995142"/>
    <w:rsid w:val="009A2085"/>
    <w:rsid w:val="009B21E6"/>
    <w:rsid w:val="009C0220"/>
    <w:rsid w:val="009C21F4"/>
    <w:rsid w:val="009D053A"/>
    <w:rsid w:val="009D22C8"/>
    <w:rsid w:val="009E0524"/>
    <w:rsid w:val="009E09E6"/>
    <w:rsid w:val="009E2E3C"/>
    <w:rsid w:val="009E6A18"/>
    <w:rsid w:val="009E6FBA"/>
    <w:rsid w:val="009E7C9C"/>
    <w:rsid w:val="009F16B2"/>
    <w:rsid w:val="00A0017C"/>
    <w:rsid w:val="00A03E20"/>
    <w:rsid w:val="00A0790D"/>
    <w:rsid w:val="00A21D23"/>
    <w:rsid w:val="00A22CAA"/>
    <w:rsid w:val="00A34A8C"/>
    <w:rsid w:val="00A43796"/>
    <w:rsid w:val="00A465BD"/>
    <w:rsid w:val="00A532ED"/>
    <w:rsid w:val="00A543F3"/>
    <w:rsid w:val="00A569D2"/>
    <w:rsid w:val="00A61FC1"/>
    <w:rsid w:val="00A6201A"/>
    <w:rsid w:val="00A62330"/>
    <w:rsid w:val="00A723D4"/>
    <w:rsid w:val="00A730F5"/>
    <w:rsid w:val="00A82789"/>
    <w:rsid w:val="00A8532F"/>
    <w:rsid w:val="00A853CC"/>
    <w:rsid w:val="00A90568"/>
    <w:rsid w:val="00A93FB9"/>
    <w:rsid w:val="00AA1D0D"/>
    <w:rsid w:val="00AA209D"/>
    <w:rsid w:val="00AA2DA5"/>
    <w:rsid w:val="00AA6192"/>
    <w:rsid w:val="00AB3C86"/>
    <w:rsid w:val="00AB3CD7"/>
    <w:rsid w:val="00AB61A8"/>
    <w:rsid w:val="00AC1FBE"/>
    <w:rsid w:val="00AC4876"/>
    <w:rsid w:val="00AD0157"/>
    <w:rsid w:val="00AD1307"/>
    <w:rsid w:val="00AD1E88"/>
    <w:rsid w:val="00AD5FA6"/>
    <w:rsid w:val="00AF2C32"/>
    <w:rsid w:val="00B02246"/>
    <w:rsid w:val="00B03B65"/>
    <w:rsid w:val="00B074E1"/>
    <w:rsid w:val="00B154F5"/>
    <w:rsid w:val="00B1659C"/>
    <w:rsid w:val="00B25DB3"/>
    <w:rsid w:val="00B329FF"/>
    <w:rsid w:val="00B40737"/>
    <w:rsid w:val="00B47B2B"/>
    <w:rsid w:val="00B56C8E"/>
    <w:rsid w:val="00B6202F"/>
    <w:rsid w:val="00B63295"/>
    <w:rsid w:val="00B648FE"/>
    <w:rsid w:val="00B67B6B"/>
    <w:rsid w:val="00B73144"/>
    <w:rsid w:val="00B803D8"/>
    <w:rsid w:val="00B8043B"/>
    <w:rsid w:val="00B8144B"/>
    <w:rsid w:val="00B8745C"/>
    <w:rsid w:val="00B907F1"/>
    <w:rsid w:val="00BA1295"/>
    <w:rsid w:val="00BA16B0"/>
    <w:rsid w:val="00BA3D12"/>
    <w:rsid w:val="00BA5444"/>
    <w:rsid w:val="00BA6A3C"/>
    <w:rsid w:val="00BB1714"/>
    <w:rsid w:val="00BB3E95"/>
    <w:rsid w:val="00BC25EA"/>
    <w:rsid w:val="00BC31EA"/>
    <w:rsid w:val="00BC3C21"/>
    <w:rsid w:val="00BD2851"/>
    <w:rsid w:val="00BD3B52"/>
    <w:rsid w:val="00BE007B"/>
    <w:rsid w:val="00BE0222"/>
    <w:rsid w:val="00BE6240"/>
    <w:rsid w:val="00BF0C45"/>
    <w:rsid w:val="00BF1EB5"/>
    <w:rsid w:val="00BF5476"/>
    <w:rsid w:val="00C01681"/>
    <w:rsid w:val="00C0453D"/>
    <w:rsid w:val="00C1633A"/>
    <w:rsid w:val="00C17020"/>
    <w:rsid w:val="00C22AC9"/>
    <w:rsid w:val="00C246E8"/>
    <w:rsid w:val="00C43BB7"/>
    <w:rsid w:val="00C47364"/>
    <w:rsid w:val="00C47EE5"/>
    <w:rsid w:val="00C60CA8"/>
    <w:rsid w:val="00C6364F"/>
    <w:rsid w:val="00C64D49"/>
    <w:rsid w:val="00C6553C"/>
    <w:rsid w:val="00C77760"/>
    <w:rsid w:val="00C93C2C"/>
    <w:rsid w:val="00C94591"/>
    <w:rsid w:val="00CA2E85"/>
    <w:rsid w:val="00CB0620"/>
    <w:rsid w:val="00CB2748"/>
    <w:rsid w:val="00CC0B51"/>
    <w:rsid w:val="00CC7950"/>
    <w:rsid w:val="00CF08AB"/>
    <w:rsid w:val="00CF7A5E"/>
    <w:rsid w:val="00D06F84"/>
    <w:rsid w:val="00D119D9"/>
    <w:rsid w:val="00D142F1"/>
    <w:rsid w:val="00D17E4A"/>
    <w:rsid w:val="00D30036"/>
    <w:rsid w:val="00D310F8"/>
    <w:rsid w:val="00D338D6"/>
    <w:rsid w:val="00D51E99"/>
    <w:rsid w:val="00D526F7"/>
    <w:rsid w:val="00D5483F"/>
    <w:rsid w:val="00D66776"/>
    <w:rsid w:val="00D740C6"/>
    <w:rsid w:val="00D90906"/>
    <w:rsid w:val="00D91D24"/>
    <w:rsid w:val="00D95E49"/>
    <w:rsid w:val="00DA57C0"/>
    <w:rsid w:val="00DC628A"/>
    <w:rsid w:val="00DC77A4"/>
    <w:rsid w:val="00DF6848"/>
    <w:rsid w:val="00E034B4"/>
    <w:rsid w:val="00E03538"/>
    <w:rsid w:val="00E06DBE"/>
    <w:rsid w:val="00E1575F"/>
    <w:rsid w:val="00E2004C"/>
    <w:rsid w:val="00E262A6"/>
    <w:rsid w:val="00E31D3C"/>
    <w:rsid w:val="00E41A64"/>
    <w:rsid w:val="00E46CDB"/>
    <w:rsid w:val="00E55736"/>
    <w:rsid w:val="00E62CA6"/>
    <w:rsid w:val="00E63537"/>
    <w:rsid w:val="00E72E88"/>
    <w:rsid w:val="00E87312"/>
    <w:rsid w:val="00E90697"/>
    <w:rsid w:val="00E95617"/>
    <w:rsid w:val="00E97608"/>
    <w:rsid w:val="00EA1611"/>
    <w:rsid w:val="00EA1ACE"/>
    <w:rsid w:val="00EA2AFD"/>
    <w:rsid w:val="00EA4730"/>
    <w:rsid w:val="00EA5884"/>
    <w:rsid w:val="00EB57EE"/>
    <w:rsid w:val="00EB7FC2"/>
    <w:rsid w:val="00ED1F9C"/>
    <w:rsid w:val="00ED5638"/>
    <w:rsid w:val="00EE5EA9"/>
    <w:rsid w:val="00EF6E1E"/>
    <w:rsid w:val="00F13694"/>
    <w:rsid w:val="00F239ED"/>
    <w:rsid w:val="00F23F7A"/>
    <w:rsid w:val="00F340B7"/>
    <w:rsid w:val="00F42D74"/>
    <w:rsid w:val="00F46251"/>
    <w:rsid w:val="00F47E82"/>
    <w:rsid w:val="00F5216D"/>
    <w:rsid w:val="00F577F5"/>
    <w:rsid w:val="00F75D89"/>
    <w:rsid w:val="00F822E5"/>
    <w:rsid w:val="00F905A7"/>
    <w:rsid w:val="00F9383E"/>
    <w:rsid w:val="00FA0887"/>
    <w:rsid w:val="00FA1BDA"/>
    <w:rsid w:val="00FB2354"/>
    <w:rsid w:val="00FC053D"/>
    <w:rsid w:val="00FD08EC"/>
    <w:rsid w:val="00FF1390"/>
    <w:rsid w:val="00FF3519"/>
    <w:rsid w:val="00FF5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1354"/>
    <w:pPr>
      <w:autoSpaceDE w:val="0"/>
      <w:autoSpaceDN w:val="0"/>
      <w:adjustRightInd w:val="0"/>
      <w:ind w:left="-284" w:firstLine="426"/>
      <w:jc w:val="both"/>
    </w:pPr>
    <w:rPr>
      <w:bCs/>
      <w:sz w:val="28"/>
      <w:szCs w:val="26"/>
    </w:rPr>
  </w:style>
  <w:style w:type="character" w:customStyle="1" w:styleId="a4">
    <w:name w:val="Основной текст с отступом Знак"/>
    <w:basedOn w:val="a0"/>
    <w:link w:val="a3"/>
    <w:rsid w:val="00961354"/>
    <w:rPr>
      <w:rFonts w:ascii="Times New Roman" w:eastAsia="Times New Roman" w:hAnsi="Times New Roman" w:cs="Times New Roman"/>
      <w:bCs/>
      <w:sz w:val="28"/>
      <w:szCs w:val="26"/>
      <w:lang w:eastAsia="ru-RU"/>
    </w:rPr>
  </w:style>
  <w:style w:type="paragraph" w:customStyle="1" w:styleId="ConsPlusNormal">
    <w:name w:val="ConsPlusNormal"/>
    <w:rsid w:val="001E7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647B2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647B2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3144"/>
    <w:rPr>
      <w:rFonts w:ascii="Tahoma" w:hAnsi="Tahoma" w:cs="Tahoma"/>
      <w:sz w:val="16"/>
      <w:szCs w:val="16"/>
    </w:rPr>
  </w:style>
  <w:style w:type="character" w:customStyle="1" w:styleId="a8">
    <w:name w:val="Текст выноски Знак"/>
    <w:basedOn w:val="a0"/>
    <w:link w:val="a7"/>
    <w:uiPriority w:val="99"/>
    <w:semiHidden/>
    <w:rsid w:val="00B73144"/>
    <w:rPr>
      <w:rFonts w:ascii="Tahoma" w:eastAsia="Times New Roman" w:hAnsi="Tahoma" w:cs="Tahoma"/>
      <w:sz w:val="16"/>
      <w:szCs w:val="16"/>
      <w:lang w:eastAsia="ru-RU"/>
    </w:rPr>
  </w:style>
  <w:style w:type="character" w:styleId="a9">
    <w:name w:val="Hyperlink"/>
    <w:basedOn w:val="a0"/>
    <w:uiPriority w:val="99"/>
    <w:semiHidden/>
    <w:unhideWhenUsed/>
    <w:rsid w:val="004825FF"/>
    <w:rPr>
      <w:color w:val="0000FF" w:themeColor="hyperlink"/>
      <w:u w:val="single"/>
    </w:rPr>
  </w:style>
  <w:style w:type="paragraph" w:styleId="aa">
    <w:name w:val="List Paragraph"/>
    <w:basedOn w:val="a"/>
    <w:uiPriority w:val="34"/>
    <w:qFormat/>
    <w:rsid w:val="008F3B28"/>
    <w:pPr>
      <w:ind w:left="720"/>
      <w:contextualSpacing/>
    </w:pPr>
  </w:style>
  <w:style w:type="character" w:customStyle="1" w:styleId="1">
    <w:name w:val="Основной текст Знак1"/>
    <w:basedOn w:val="a0"/>
    <w:link w:val="ab"/>
    <w:uiPriority w:val="99"/>
    <w:rsid w:val="008F3B28"/>
    <w:rPr>
      <w:rFonts w:ascii="Times New Roman" w:hAnsi="Times New Roman" w:cs="Times New Roman"/>
      <w:sz w:val="18"/>
      <w:szCs w:val="18"/>
      <w:shd w:val="clear" w:color="auto" w:fill="FFFFFF"/>
    </w:rPr>
  </w:style>
  <w:style w:type="character" w:customStyle="1" w:styleId="10">
    <w:name w:val="Основной текст + 10"/>
    <w:aliases w:val="5 pt"/>
    <w:basedOn w:val="1"/>
    <w:uiPriority w:val="99"/>
    <w:rsid w:val="008F3B28"/>
    <w:rPr>
      <w:sz w:val="21"/>
      <w:szCs w:val="21"/>
    </w:rPr>
  </w:style>
  <w:style w:type="paragraph" w:styleId="ab">
    <w:name w:val="Body Text"/>
    <w:basedOn w:val="a"/>
    <w:link w:val="1"/>
    <w:uiPriority w:val="99"/>
    <w:rsid w:val="008F3B28"/>
    <w:pPr>
      <w:widowControl w:val="0"/>
      <w:shd w:val="clear" w:color="auto" w:fill="FFFFFF"/>
      <w:spacing w:line="213" w:lineRule="exact"/>
      <w:jc w:val="center"/>
    </w:pPr>
    <w:rPr>
      <w:rFonts w:eastAsiaTheme="minorHAnsi"/>
      <w:sz w:val="18"/>
      <w:szCs w:val="18"/>
      <w:lang w:eastAsia="en-US"/>
    </w:rPr>
  </w:style>
  <w:style w:type="character" w:customStyle="1" w:styleId="ac">
    <w:name w:val="Основной текст Знак"/>
    <w:basedOn w:val="a0"/>
    <w:link w:val="ab"/>
    <w:uiPriority w:val="99"/>
    <w:semiHidden/>
    <w:rsid w:val="008F3B28"/>
    <w:rPr>
      <w:rFonts w:ascii="Times New Roman" w:eastAsia="Times New Roman" w:hAnsi="Times New Roman" w:cs="Times New Roman"/>
      <w:sz w:val="24"/>
      <w:szCs w:val="24"/>
      <w:lang w:eastAsia="ru-RU"/>
    </w:rPr>
  </w:style>
  <w:style w:type="character" w:customStyle="1" w:styleId="101">
    <w:name w:val="Основной текст + 101"/>
    <w:aliases w:val="5 pt2"/>
    <w:basedOn w:val="1"/>
    <w:uiPriority w:val="99"/>
    <w:rsid w:val="008F3B28"/>
    <w:rPr>
      <w:sz w:val="21"/>
      <w:szCs w:val="21"/>
      <w:u w:val="none"/>
    </w:rPr>
  </w:style>
</w:styles>
</file>

<file path=word/webSettings.xml><?xml version="1.0" encoding="utf-8"?>
<w:webSettings xmlns:r="http://schemas.openxmlformats.org/officeDocument/2006/relationships" xmlns:w="http://schemas.openxmlformats.org/wordprocessingml/2006/main">
  <w:divs>
    <w:div w:id="58214198">
      <w:bodyDiv w:val="1"/>
      <w:marLeft w:val="0"/>
      <w:marRight w:val="0"/>
      <w:marTop w:val="0"/>
      <w:marBottom w:val="0"/>
      <w:divBdr>
        <w:top w:val="none" w:sz="0" w:space="0" w:color="auto"/>
        <w:left w:val="none" w:sz="0" w:space="0" w:color="auto"/>
        <w:bottom w:val="none" w:sz="0" w:space="0" w:color="auto"/>
        <w:right w:val="none" w:sz="0" w:space="0" w:color="auto"/>
      </w:divBdr>
    </w:div>
    <w:div w:id="234247008">
      <w:bodyDiv w:val="1"/>
      <w:marLeft w:val="0"/>
      <w:marRight w:val="0"/>
      <w:marTop w:val="0"/>
      <w:marBottom w:val="0"/>
      <w:divBdr>
        <w:top w:val="none" w:sz="0" w:space="0" w:color="auto"/>
        <w:left w:val="none" w:sz="0" w:space="0" w:color="auto"/>
        <w:bottom w:val="none" w:sz="0" w:space="0" w:color="auto"/>
        <w:right w:val="none" w:sz="0" w:space="0" w:color="auto"/>
      </w:divBdr>
    </w:div>
    <w:div w:id="593326617">
      <w:bodyDiv w:val="1"/>
      <w:marLeft w:val="0"/>
      <w:marRight w:val="0"/>
      <w:marTop w:val="0"/>
      <w:marBottom w:val="0"/>
      <w:divBdr>
        <w:top w:val="none" w:sz="0" w:space="0" w:color="auto"/>
        <w:left w:val="none" w:sz="0" w:space="0" w:color="auto"/>
        <w:bottom w:val="none" w:sz="0" w:space="0" w:color="auto"/>
        <w:right w:val="none" w:sz="0" w:space="0" w:color="auto"/>
      </w:divBdr>
    </w:div>
    <w:div w:id="17883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Денис Александрович</dc:creator>
  <cp:lastModifiedBy>ChernishovaUP</cp:lastModifiedBy>
  <cp:revision>2</cp:revision>
  <cp:lastPrinted>2019-07-26T12:44:00Z</cp:lastPrinted>
  <dcterms:created xsi:type="dcterms:W3CDTF">2019-07-26T13:12:00Z</dcterms:created>
  <dcterms:modified xsi:type="dcterms:W3CDTF">2019-07-26T13:12:00Z</dcterms:modified>
</cp:coreProperties>
</file>